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19011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190119"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19011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5F440D">
        <w:rPr>
          <w:rFonts w:ascii="Arial" w:hAnsi="Arial" w:cs="Arial"/>
          <w:sz w:val="24"/>
          <w:szCs w:val="24"/>
        </w:rPr>
        <w:t>032</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5F440D">
        <w:rPr>
          <w:rFonts w:ascii="Arial" w:hAnsi="Arial" w:cs="Arial"/>
          <w:sz w:val="24"/>
          <w:szCs w:val="24"/>
        </w:rPr>
        <w:t>11/10/20</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at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190119"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90119" w:rsidRPr="0073592F">
        <w:rPr>
          <w:rFonts w:ascii="Arial" w:hAnsi="Arial" w:cs="Arial"/>
          <w:sz w:val="24"/>
          <w:szCs w:val="24"/>
          <w:lang w:val="en-CA"/>
        </w:rPr>
        <w:fldChar w:fldCharType="end"/>
      </w:r>
      <w:r w:rsidR="00190119"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90119"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The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and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and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and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1245 App C12  Safety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Training Requirements and Qualification Journal for Independent Spent Fuel Storage Installation Inspector</w:t>
      </w:r>
      <w:r>
        <w:rPr>
          <w:rFonts w:ascii="Arial" w:hAnsi="Arial" w:cs="Arial"/>
          <w:sz w:val="24"/>
          <w:szCs w:val="24"/>
        </w:rPr>
        <w:t xml:space="preserve">  11/07/11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E4 Training Requirements and Qualification Journal for Decommissioning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In-Core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190119"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190119"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190119"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190119"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190119"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Bar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Inspection Requirements To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Inspection Requirements To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To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190119"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190119"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190119"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90119"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Reliable Decay Heat Removal During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190119"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90119"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Periodic Verification of  Design-Basis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 xml:space="preserve">During Shutdown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it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190119"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190119"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Cooling,Decay</w:t>
      </w:r>
      <w:proofErr w:type="spell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To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Watts Bar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 xml:space="preserve">Design Verification Programs 03/24/89  </w:t>
      </w:r>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For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Within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190119"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During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190119"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and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45051.A</w:t>
      </w:r>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Equipment Qualification</w:t>
      </w:r>
      <w:r w:rsidR="00E443EC">
        <w:rPr>
          <w:rFonts w:ascii="Arial" w:hAnsi="Arial" w:cs="Arial"/>
          <w:color w:val="000000"/>
          <w:sz w:val="24"/>
          <w:szCs w:val="24"/>
        </w:rPr>
        <w:t xml:space="preserve">  11/07/11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 xml:space="preserve">(reactivated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rm Operating Reactor 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r w:rsidRPr="00B80E88">
        <w:rPr>
          <w:rFonts w:ascii="Arial" w:hAnsi="Arial" w:cs="Arial"/>
          <w:sz w:val="24"/>
          <w:szCs w:val="24"/>
        </w:rPr>
        <w:t>A</w:t>
      </w:r>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r>
        <w:rPr>
          <w:rFonts w:ascii="Arial" w:hAnsi="Arial" w:cs="Arial"/>
          <w:sz w:val="24"/>
          <w:szCs w:val="24"/>
        </w:rPr>
        <w:t>B</w:t>
      </w:r>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65001.C</w:t>
      </w:r>
      <w:r w:rsidR="0091358F" w:rsidRPr="00B80E88">
        <w:rPr>
          <w:rFonts w:ascii="Arial" w:hAnsi="Arial" w:cs="Arial"/>
          <w:sz w:val="24"/>
          <w:szCs w:val="24"/>
        </w:rPr>
        <w:tab/>
      </w:r>
      <w:r w:rsidR="0019011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 xml:space="preserve">65001.D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r>
        <w:rPr>
          <w:rFonts w:ascii="Arial" w:hAnsi="Arial" w:cs="Arial"/>
          <w:sz w:val="24"/>
          <w:szCs w:val="24"/>
        </w:rPr>
        <w:t>E</w:t>
      </w:r>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r>
        <w:rPr>
          <w:rFonts w:ascii="Arial" w:hAnsi="Arial" w:cs="Arial"/>
          <w:sz w:val="24"/>
          <w:szCs w:val="24"/>
        </w:rPr>
        <w:t>F</w:t>
      </w:r>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19011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19" w:rsidRPr="0037365C">
        <w:rPr>
          <w:rFonts w:ascii="Arial" w:hAnsi="Arial" w:cs="Arial"/>
          <w:sz w:val="24"/>
          <w:szCs w:val="24"/>
          <w:lang w:val="en-CA"/>
        </w:rPr>
        <w:fldChar w:fldCharType="end"/>
      </w:r>
      <w:r w:rsidR="0019011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19" w:rsidRPr="0037365C">
        <w:rPr>
          <w:rFonts w:ascii="Arial" w:hAnsi="Arial" w:cs="Arial"/>
          <w:sz w:val="24"/>
          <w:szCs w:val="24"/>
          <w:lang w:val="en-CA"/>
        </w:rPr>
        <w:fldChar w:fldCharType="end"/>
      </w:r>
      <w:r w:rsidR="0019011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19" w:rsidRPr="0037365C">
        <w:rPr>
          <w:rFonts w:ascii="Arial" w:hAnsi="Arial" w:cs="Arial"/>
          <w:sz w:val="24"/>
          <w:szCs w:val="24"/>
          <w:lang w:val="en-CA"/>
        </w:rPr>
        <w:fldChar w:fldCharType="end"/>
      </w:r>
      <w:r w:rsidR="0019011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19" w:rsidRPr="0037365C">
        <w:rPr>
          <w:rFonts w:ascii="Arial" w:hAnsi="Arial" w:cs="Arial"/>
          <w:sz w:val="24"/>
          <w:szCs w:val="24"/>
          <w:lang w:val="en-CA"/>
        </w:rPr>
        <w:fldChar w:fldCharType="end"/>
      </w:r>
      <w:r w:rsidR="0019011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19" w:rsidRPr="0037365C">
        <w:rPr>
          <w:rFonts w:ascii="Arial" w:hAnsi="Arial" w:cs="Arial"/>
          <w:sz w:val="24"/>
          <w:szCs w:val="24"/>
          <w:lang w:val="en-CA"/>
        </w:rPr>
        <w:fldChar w:fldCharType="end"/>
      </w:r>
      <w:r w:rsidR="00190119"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90119"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19011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0019011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As-Built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and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Nuclear Instrumentation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(reactivated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Engineered Safety Features Act. Sys.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Safety and Relief Valves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Effectiveness </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lastRenderedPageBreak/>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and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the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or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Worth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or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Reserved for Fitness For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of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Occupational Exposure During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Part 52, Radiation Protection During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Control Of Radioactive Materials and Contamination, Surveys, and Monitoring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Part 52 Control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190119"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Facilities  </w:t>
      </w:r>
      <w:r w:rsidR="00D74BE8" w:rsidRPr="00660380">
        <w:rPr>
          <w:rFonts w:ascii="Arial" w:hAnsi="Arial" w:cs="Arial"/>
          <w:sz w:val="24"/>
          <w:szCs w:val="24"/>
        </w:rPr>
        <w:t>11/15/10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of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lastRenderedPageBreak/>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lastRenderedPageBreak/>
        <w:tab/>
      </w:r>
      <w:r w:rsidR="0019011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19011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190119"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90119"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at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After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 xml:space="preserve">for Two or More Severity Level III </w:t>
      </w:r>
      <w:r w:rsidR="005D7E9D" w:rsidRPr="007A505B">
        <w:rPr>
          <w:rFonts w:ascii="Arial" w:hAnsi="Arial" w:cs="Arial"/>
          <w:sz w:val="24"/>
          <w:szCs w:val="24"/>
        </w:rPr>
        <w:lastRenderedPageBreak/>
        <w:t>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Operability Determinations &amp; Functionality Assessments For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nto Limiting Conditions For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lastRenderedPageBreak/>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r w:rsidRPr="00B80E88">
        <w:rPr>
          <w:rFonts w:ascii="Arial" w:hAnsi="Arial" w:cs="Arial"/>
          <w:b/>
          <w:bCs/>
          <w:sz w:val="24"/>
          <w:szCs w:val="24"/>
          <w:u w:val="single"/>
        </w:rPr>
        <w:t>10 CFR GUIDANCE</w:t>
      </w:r>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5F440D">
      <w:rPr>
        <w:rFonts w:ascii="Arial" w:hAnsi="Arial" w:cs="Arial"/>
        <w:sz w:val="24"/>
        <w:szCs w:val="24"/>
      </w:rPr>
      <w:t>11/10</w:t>
    </w:r>
    <w:r w:rsidR="005C1D74">
      <w:rPr>
        <w:rFonts w:ascii="Arial" w:hAnsi="Arial" w:cs="Arial"/>
        <w:sz w:val="24"/>
        <w:szCs w:val="24"/>
      </w:rPr>
      <w:t>/11</w:t>
    </w:r>
    <w:r w:rsidRPr="004658EA">
      <w:rPr>
        <w:rFonts w:ascii="Arial" w:hAnsi="Arial" w:cs="Arial"/>
        <w:sz w:val="24"/>
        <w:szCs w:val="24"/>
      </w:rPr>
      <w:tab/>
    </w:r>
    <w:r w:rsidR="00190119"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190119" w:rsidRPr="004658EA">
      <w:rPr>
        <w:rFonts w:ascii="Arial" w:hAnsi="Arial" w:cs="Arial"/>
        <w:sz w:val="24"/>
        <w:szCs w:val="24"/>
      </w:rPr>
      <w:fldChar w:fldCharType="separate"/>
    </w:r>
    <w:r w:rsidR="00F61233">
      <w:rPr>
        <w:rFonts w:ascii="Arial" w:hAnsi="Arial" w:cs="Arial"/>
        <w:noProof/>
        <w:sz w:val="24"/>
        <w:szCs w:val="24"/>
      </w:rPr>
      <w:t>15</w:t>
    </w:r>
    <w:r w:rsidR="00190119"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DE3DC4">
      <w:rPr>
        <w:rFonts w:ascii="Arial" w:hAnsi="Arial" w:cs="Arial"/>
        <w:sz w:val="24"/>
        <w:szCs w:val="24"/>
      </w:rPr>
      <w:t>11/</w:t>
    </w:r>
    <w:r w:rsidR="005F440D">
      <w:rPr>
        <w:rFonts w:ascii="Arial" w:hAnsi="Arial" w:cs="Arial"/>
        <w:sz w:val="24"/>
        <w:szCs w:val="24"/>
      </w:rPr>
      <w:t>10/</w:t>
    </w:r>
    <w:r w:rsidR="005C1D74">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20"/>
  <w:characterSpacingControl w:val="doNotCompress"/>
  <w:hdrShapeDefaults>
    <o:shapedefaults v:ext="edit" spidmax="11264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264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87F6-B723-4371-A90A-6DA4B9720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12593</Words>
  <Characters>91109</Characters>
  <Application>Microsoft Office Word</Application>
  <DocSecurity>0</DocSecurity>
  <Lines>759</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2011-11-11T22:08:00Z</dcterms:created>
  <dcterms:modified xsi:type="dcterms:W3CDTF">2011-11-11T22:08:00Z</dcterms:modified>
</cp:coreProperties>
</file>